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CAA68">
      <w:pPr>
        <w:spacing w:line="600" w:lineRule="exact"/>
        <w:ind w:left="930" w:leftChars="443" w:firstLine="505" w:firstLineChars="158"/>
        <w:jc w:val="both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安徽省特种设备协会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第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届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  <w:t>第四次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理事会</w:t>
      </w:r>
    </w:p>
    <w:p w14:paraId="10758E03">
      <w:pPr>
        <w:spacing w:line="600" w:lineRule="exact"/>
        <w:ind w:left="930" w:leftChars="443" w:firstLine="1776" w:firstLineChars="555"/>
        <w:jc w:val="both"/>
        <w:rPr>
          <w:rFonts w:hint="default" w:ascii="楷体_GB2312" w:hAnsi="楷体_GB2312" w:eastAsia="方正小标宋_GBK" w:cs="楷体_GB2312"/>
          <w:color w:val="00000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工作报告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、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  <w:t>财务报告</w:t>
      </w:r>
    </w:p>
    <w:p w14:paraId="3B6136C1">
      <w:pPr>
        <w:spacing w:line="600" w:lineRule="exact"/>
        <w:ind w:left="0" w:leftChars="0" w:firstLine="0" w:firstLineChars="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2AE9DB8">
      <w:pPr>
        <w:spacing w:line="600" w:lineRule="exact"/>
        <w:ind w:left="0" w:leftChars="0" w:firstLine="0" w:firstLineChars="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各位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理事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代表：</w:t>
      </w:r>
    </w:p>
    <w:p w14:paraId="33775E72">
      <w:pPr>
        <w:spacing w:line="600" w:lineRule="exact"/>
        <w:ind w:left="742" w:leftChars="291" w:hanging="131" w:hangingChars="41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在各会员单位和全省特种设备相关企事业单位及业内热</w:t>
      </w:r>
    </w:p>
    <w:p w14:paraId="51982D73">
      <w:pPr>
        <w:spacing w:line="600" w:lineRule="exact"/>
        <w:ind w:left="0" w:leftChars="0" w:firstLine="0" w:firstLineChars="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心人士的关心支持下，经过协会秘书处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前一段时间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的认真筹备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今天，我们</w:t>
      </w:r>
      <w:r>
        <w:rPr>
          <w:rFonts w:hint="eastAsia" w:ascii="仿宋_GB2312" w:hAnsi="仿宋_GB2312" w:eastAsia="仿宋_GB2312" w:cs="仿宋_GB2312"/>
          <w:sz w:val="32"/>
          <w:szCs w:val="32"/>
        </w:rPr>
        <w:t>以通讯方式召开第四届第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理事会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。这次大会的主要任务是：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审议《安徽省特种设备协会章程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修改稿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审议《安徽省特种设备协会党组织参与协会决策事项清单》。3、审议《安徽省特种设备协会办公用品管理办法》《“三重一大”集体决策制度（试行）》《安徽省特种设备协会工作人员薪酬管理办法（修改稿）》等有关制度。4、审议部分负责人辞职的申请。5、审议协会秘书处住所地址变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 w14:paraId="484D4F35">
      <w:pPr>
        <w:spacing w:line="600" w:lineRule="exact"/>
        <w:ind w:left="742" w:leftChars="291" w:hanging="131" w:hangingChars="41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现在，受理事会的委托，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向大会作工作报告，请予审</w:t>
      </w:r>
    </w:p>
    <w:p w14:paraId="130F2486">
      <w:pPr>
        <w:spacing w:line="60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议。</w:t>
      </w:r>
    </w:p>
    <w:p w14:paraId="51A42E74">
      <w:pPr>
        <w:suppressAutoHyphens/>
        <w:spacing w:line="48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Times New Roman"/>
          <w:b/>
          <w:bCs/>
          <w:sz w:val="32"/>
          <w:szCs w:val="32"/>
        </w:rPr>
        <w:t>—</w:t>
      </w:r>
      <w:r>
        <w:rPr>
          <w:rFonts w:hint="eastAsia" w:ascii="仿宋_GB2312" w:hAnsi="宋体" w:eastAsia="仿宋_GB2312" w:cs="Times New Roman"/>
          <w:b/>
          <w:bCs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Times New Roman"/>
          <w:b/>
          <w:bCs/>
          <w:sz w:val="32"/>
          <w:szCs w:val="32"/>
        </w:rPr>
        <w:t xml:space="preserve"> 20</w:t>
      </w:r>
      <w:r>
        <w:rPr>
          <w:rFonts w:hint="eastAsia" w:ascii="仿宋_GB2312" w:hAnsi="宋体" w:eastAsia="仿宋_GB2312" w:cs="Times New Roman"/>
          <w:b/>
          <w:bCs/>
          <w:sz w:val="32"/>
          <w:szCs w:val="32"/>
          <w:lang w:val="en-US" w:eastAsia="zh-CN"/>
        </w:rPr>
        <w:t>25</w:t>
      </w:r>
      <w:r>
        <w:rPr>
          <w:rFonts w:hint="eastAsia" w:ascii="仿宋_GB2312" w:hAnsi="宋体" w:eastAsia="仿宋_GB2312" w:cs="Times New Roman"/>
          <w:b/>
          <w:bCs/>
          <w:sz w:val="32"/>
          <w:szCs w:val="32"/>
        </w:rPr>
        <w:t>年工作回顾</w:t>
      </w:r>
    </w:p>
    <w:p w14:paraId="3D09EF71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一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、聚焦人才培育，持续夯实行业专业队伍根基</w:t>
      </w:r>
    </w:p>
    <w:p w14:paraId="75D5D75B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一是抓好特检人员能力提升培训。针对近年特种设备检验检测标准规范更新变化，组织开展检验检测人员能力提升专题培训，邀请国内特种设备知名专家来皖授课，全年完成 200 余人次培训，帮助全省检验检测人员及时掌握新标准、新方法，补齐业务短板，提升检验检测专业能力。</w:t>
      </w:r>
    </w:p>
    <w:p w14:paraId="396FA6E5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二是做好新标准宣贯落地工作。围绕《工业管道安全技术规程（TSG31-2025）》等重点安全技术规范，面向行业单位组织标准宣贯培训班，累计培训约 300 人次。通过专业解读、答疑交流，帮助企业准确理解标准条款要求，厘清实施要点，保障新规平稳落地执行。</w:t>
      </w:r>
    </w:p>
    <w:p w14:paraId="7B36D710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三是强化鉴定评审队伍廉政与业务建设。坚持业务提升和党风廉政教育同步推进，组织特种设备鉴定评审人员开展业务培训和警示教育，不断规范评审行为，筑牢反腐倡廉思想防线，提升评审队伍综合素养，推动鉴定评审工作提质增效，助力全省特种设备许可审批工作高质量开展。</w:t>
      </w:r>
    </w:p>
    <w:p w14:paraId="49063024">
      <w:pPr>
        <w:spacing w:line="600" w:lineRule="exact"/>
        <w:ind w:left="0" w:leftChars="0" w:firstLine="640" w:firstLineChars="20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二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、规范考核评审，扎实做好技术支撑服务</w:t>
      </w:r>
    </w:p>
    <w:p w14:paraId="037D144A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一是严格开展特种设备作业人员考核发证。紧扣特种设备持证上岗监管要求，规范考核流程，2025 年共组织 43 个批次作业人员考核，考核 2652 人次；依托线上申报发证系统，累计核发特种设备作业人员证书 1413 本，严格落实持证上岗制度，持续规范特种设备作业人员管理，促进行业规范化发展。</w:t>
      </w:r>
    </w:p>
    <w:p w14:paraId="301446C6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二是保质完成特种设备鉴定评审技术服务。按照特种设备安全技术规范规定，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通过购买政府服务，承接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省、各地市市场监管部门委托，开展电梯、气瓶充装、检验检测机构等各类特种设备鉴定评审。全年完成 333 家单位现场鉴定评审，涵盖检验检测机构 105 家、气瓶充装单位 89 家、锅炉类 1 家、压力容器类 6 家、压力管道类 25 家、安全阀制造 1 家、移动式压力容器充装 5 家、电梯单位 80 家、起重机械 14 家、场（厂）内专用机动车辆 7 家，为市场监管部门行政许可提供客观、可靠的技术依据。</w:t>
      </w:r>
    </w:p>
    <w:p w14:paraId="10D65F23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三是修订完善鉴定评审作业指导文件。对照国家及省市场监管局新发布的特种设备安全技术规范、标准文件，及时修订评审配套文件，颁布甲类检验机构 B1 级、甲类检验机构 B2 级（RD6、QD3）、丙类检验机构鉴定评审作业指导书 16 项，乙类检验机构鉴定评审作业指导书 4 项，统一评审尺度、规范评审流程，保障鉴定评审工作标准化、规范化开展。</w:t>
      </w:r>
    </w:p>
    <w:p w14:paraId="4194B7A4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三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、拓展技术服务，助力特种设备安全监管</w:t>
      </w:r>
    </w:p>
    <w:p w14:paraId="0E33AE53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一是承接安全监督抽查，压实使用单位主体责任。通过政府采购招标承接特种设备使用单位安全监督抽查任务，严格依据《中华人民共和国特种设备安全法》《特种设备安全监察条例》等法律法规开展抽查，对发现问题提出处置意见，督促使用单位落实安全主体责任，推动我省特种设备使用管理持续规范，稳定特种设备安全总体形势。</w:t>
      </w:r>
    </w:p>
    <w:p w14:paraId="5289EBEE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二是积极开展跨区域技术服务。协会专业技术能力得到外省监管部门认可，承接江西省德兴市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、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芜湖市繁昌县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特种设备使用单位隐患排查工作，全面排查安全风险，形成技术资料，为当地市场监管部门安全监管提供有力支撑，工作成效获得当地监管部门和企业的一致好评。</w:t>
      </w:r>
    </w:p>
    <w:p w14:paraId="3B46059E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三是推进气瓶追溯体系建设。受省局特种设备处委托，组织召开气瓶质量安全追溯系统建设会商会，集中梳理研讨气瓶追溯系统、配套文件存在的问题，研究确定优化修改方向，持续完善全省气瓶质量安全追溯体系，提升气瓶全链条安全管控水平，守护群众生命财产安全。</w:t>
      </w:r>
    </w:p>
    <w:p w14:paraId="5066175C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四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、深化安全宣传，营造特种设备共治氛围</w:t>
      </w:r>
    </w:p>
    <w:p w14:paraId="1E1DF05B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持续推进特种设备安全宣传 “五进” 活动，走进企业、校园、社区、农村、家庭，开展形式丰富的安全科普，普及特种设备安全知识、风险常识和应急常识。联合中安在线同步宣传报道，扩大宣传覆盖面与影响力，引导社会公众提升特种设备安全防范意识，凝聚特种设备安全共治合力，活动取得良好社会反响。</w:t>
      </w:r>
    </w:p>
    <w:p w14:paraId="25CB996B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五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、完善治理机制，提升协会内部管理水平</w:t>
      </w:r>
    </w:p>
    <w:p w14:paraId="5B97A2EA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严格依照协会章程开展治理，2025 年以通讯方式召开第四届第二次、第三次理事会，会议审议通过各项决议，持续优化协会内部管理制度，理顺秘书处工作机制，不断提升协会规范化运营水平，保障协会各项特种设备安全服务工作有序落地。</w:t>
      </w:r>
    </w:p>
    <w:p w14:paraId="61408772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各位代表，协会取得的成绩可圈可点，来之不易。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这些成绩的取得，得益于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省市场局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、省民政厅等有关部门领导的高度重视和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关心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，得益于广大会员单位的献计献策和大力支持，得益于理事会的集体领导，借此机会，我代表协会理事会，向各位领导、各位会员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致以最崇高的敬意和最诚挚的感谢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！</w:t>
      </w:r>
    </w:p>
    <w:p w14:paraId="1F814015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在总结成绩的同时，我们也清醒地看到，协会工作还存在短板和不足，还面临困难和挑战。理念、思路和格局还不能适应新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时代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发展要求；会员结构不尽合理，凝聚力还不够强大；服务领域、服务能力与政府部门和社会大众的期盼还有差距；会员的参与度、获得感还有待提高。这些都有待在今后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工作中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予以研究、改进和完善。</w:t>
      </w:r>
    </w:p>
    <w:p w14:paraId="47C6C256"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40"/>
        <w:jc w:val="both"/>
        <w:rPr>
          <w:rFonts w:hint="eastAsia"/>
          <w:b/>
          <w:bCs/>
          <w:color w:val="000000"/>
          <w:spacing w:val="0"/>
          <w:w w:val="100"/>
          <w:position w:val="0"/>
          <w:lang w:eastAsia="zh-CN"/>
        </w:rPr>
      </w:pPr>
      <w:r>
        <w:rPr>
          <w:rStyle w:val="6"/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二、</w:t>
      </w:r>
      <w:r>
        <w:rPr>
          <w:rFonts w:hint="eastAsia"/>
          <w:b/>
          <w:bCs/>
          <w:color w:val="000000"/>
          <w:spacing w:val="0"/>
          <w:w w:val="100"/>
          <w:position w:val="0"/>
          <w:lang w:eastAsia="zh-CN"/>
        </w:rPr>
        <w:t>财务收支情况</w:t>
      </w:r>
    </w:p>
    <w:p w14:paraId="1EF6B461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zh-TW" w:eastAsia="zh-TW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zh-TW" w:eastAsia="zh-TW"/>
        </w:rPr>
        <w:t>按照公平、公正、公开的原则，对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2025-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zh-TW" w:eastAsia="zh-TW"/>
        </w:rPr>
        <w:t>20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26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zh-TW" w:eastAsia="zh-TW"/>
        </w:rPr>
        <w:t>年度的协会会费收支进行了全面的统计检查，同时接受了多次各类财务检查和审计活动，从检查审计的情况来看，协会的各项费用开支基本合理，未发现有浪费和乱支出现象。在经费紧张的情况下，较好地保障了各项工作的正常运转和活动开展。</w:t>
      </w:r>
    </w:p>
    <w:p w14:paraId="63D26C68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（一）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、2025-2026年会费收入情况：</w:t>
      </w:r>
    </w:p>
    <w:p w14:paraId="5CDBF940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 xml:space="preserve">      1、会费收入：35.6万</w:t>
      </w:r>
    </w:p>
    <w:p w14:paraId="07EFAE77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ab/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 xml:space="preserve">   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 xml:space="preserve">   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2、活动及捐赠收入：0 万；</w:t>
      </w:r>
    </w:p>
    <w:p w14:paraId="580EFDF9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（二）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、经费支出：30.58万。</w:t>
      </w:r>
    </w:p>
    <w:p w14:paraId="2E8CC08B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 xml:space="preserve">        目前协会结余 5.02万。</w:t>
      </w:r>
    </w:p>
    <w:p w14:paraId="5A5200D8">
      <w:pPr>
        <w:spacing w:line="600" w:lineRule="exact"/>
        <w:ind w:left="0" w:firstLine="640" w:firstLineChars="200"/>
        <w:rPr>
          <w:rStyle w:val="6"/>
          <w:rFonts w:hint="default" w:ascii="黑体" w:hAnsi="黑体" w:eastAsia="黑体" w:cs="黑体"/>
          <w:b w:val="0"/>
          <w:bCs/>
          <w:color w:val="000000"/>
          <w:sz w:val="32"/>
          <w:szCs w:val="32"/>
        </w:rPr>
      </w:pPr>
      <w:r>
        <w:rPr>
          <w:rStyle w:val="6"/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三</w:t>
      </w:r>
      <w:r>
        <w:rPr>
          <w:rStyle w:val="6"/>
          <w:rFonts w:hint="default" w:ascii="黑体" w:hAnsi="黑体" w:eastAsia="黑体" w:cs="黑体"/>
          <w:b w:val="0"/>
          <w:bCs/>
          <w:color w:val="000000"/>
          <w:sz w:val="32"/>
          <w:szCs w:val="32"/>
        </w:rPr>
        <w:t>、</w:t>
      </w:r>
      <w:r>
        <w:rPr>
          <w:rStyle w:val="6"/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明年工作</w:t>
      </w:r>
      <w:r>
        <w:rPr>
          <w:rStyle w:val="6"/>
          <w:rFonts w:hint="default" w:ascii="黑体" w:hAnsi="黑体" w:eastAsia="黑体" w:cs="黑体"/>
          <w:b w:val="0"/>
          <w:bCs/>
          <w:color w:val="000000"/>
          <w:sz w:val="32"/>
          <w:szCs w:val="32"/>
        </w:rPr>
        <w:t>展望</w:t>
      </w:r>
    </w:p>
    <w:p w14:paraId="0D1E933F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 xml:space="preserve"> 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2027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年总的思路是：以习近平新时代中国特色社会主义思想为指导，坚持党的领导，坚持安全至上，坚持服务为本。紧扣高质量发展主题，凝聚会员合力，促进资源共享，完善服务体系，提升服务质量，拓展服务效能。构建“会员受益、行业欢迎、政府认可、社会期许”的新发展格局，助力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安徽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特种设备安全治理体系与治理能力现代化建设，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服务科技创新与新质生产力发展，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为全省特种设备领域高质量发展贡献更强力量。</w:t>
      </w:r>
    </w:p>
    <w:p w14:paraId="639A57CB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1. 持续做好教育培训和标准宣贯。紧跟法规标准更新节奏，丰富培训模式，增加线上教学、案例研讨、实操培训，扩大培训覆盖面，持续提升行业从业人员专业能力。</w:t>
      </w:r>
    </w:p>
    <w:p w14:paraId="4A10306A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2. 高标准做好鉴定评审、作业人员考核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工作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。持续落实评审纪律和廉政要求，用好新版作业指导书，严把评审质量；规范作业人员考核流程，优化考核服务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程序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。</w:t>
      </w:r>
    </w:p>
    <w:p w14:paraId="7A4B7AF8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3. 深耕技术支撑服务。积极承接各级市场监管部门委托的监督抽查、隐患排查、技术评估任务，打磨技术服务质量；持续跟进气瓶追溯系统优化落地，发挥数字化监管效能。</w:t>
      </w:r>
    </w:p>
    <w:p w14:paraId="075C7C28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4. 创新安全科普宣传。持续深化特种设备安全 “五进”，创新短视频、科普展板、现场演练等宣传形式，持续提升全社会特种设备安全意识。</w:t>
      </w:r>
    </w:p>
    <w:p w14:paraId="1DB0DE5B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5. 强化协会自身建设。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以党建为引领，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完善内部管理制度，加强人才队伍建设，常态化开展廉政教育；规范理事会运行，充分发挥理事单位作用，凝聚行业力量，更好履行协会职能，助力全省特种设备安全高质量发展。</w:t>
      </w:r>
    </w:p>
    <w:p w14:paraId="6B2C544B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</w:pP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各位代表，协会即将进入新的发展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时期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。当今社会科技发展日新月异，以大数据、AI智能、新能源为代表的第四次工业革命已经悄然来临，大量创新技术在特种设备的设计、制造、安装、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使用、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运维、检验检测等方面得到广泛应用，迫切需要我们从事特种设备行业的企业家、专家学者们与时俱进，顺势而为，深入研究、探讨新的安全技术和新的管理方法，快速形成新质生产力。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为此，</w:t>
      </w:r>
      <w:r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让我们更加紧密地团结在以习近平同志为核心的党中央周围，高举中国特色社会主义伟大旗帜，全面贯彻新发展理念，积极服务和融入新发展格局，着力推动高质量发展，踔厉奋发，勤勉务实,励精笃行，担当尽责，努力开创新的工作局面，为促进我省经济又好又快发展做出新的更大贡献。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！</w:t>
      </w:r>
    </w:p>
    <w:p w14:paraId="312F4544">
      <w:pPr>
        <w:spacing w:line="600" w:lineRule="exact"/>
        <w:ind w:left="0" w:firstLine="640"/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谢谢大家！</w:t>
      </w:r>
    </w:p>
    <w:p w14:paraId="5CF3DE73">
      <w:pPr>
        <w:spacing w:line="600" w:lineRule="exact"/>
        <w:ind w:left="0" w:firstLine="640"/>
        <w:rPr>
          <w:rStyle w:val="6"/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80507C-96C3-48DD-B87C-3B650913046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E1482D0-6BAE-4497-8F75-AA84E547F338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837AB42-A042-4FC8-9E7F-6AD7C891CE0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9A6133EE-2E1C-4BCF-86E8-444CC8D0E51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543ED3EF-90ED-45C3-BC69-3927AD3F833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D326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E2611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E2611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jMmE5Y2U1NjUxYjViZTBmMWE5NmUxYzZlZTM0NWEifQ=="/>
    <w:docVar w:name="KSO_WPS_MARK_KEY" w:val="c212e111-6af2-4c3e-b6a4-9e9b68d8d536"/>
  </w:docVars>
  <w:rsids>
    <w:rsidRoot w:val="00000000"/>
    <w:rsid w:val="007C6F15"/>
    <w:rsid w:val="00AB7A64"/>
    <w:rsid w:val="016B3BA7"/>
    <w:rsid w:val="01E70DA9"/>
    <w:rsid w:val="0241242E"/>
    <w:rsid w:val="02F35066"/>
    <w:rsid w:val="031E276F"/>
    <w:rsid w:val="037103F2"/>
    <w:rsid w:val="03A42CC1"/>
    <w:rsid w:val="04647E96"/>
    <w:rsid w:val="04ED5506"/>
    <w:rsid w:val="05C8346C"/>
    <w:rsid w:val="06732DD2"/>
    <w:rsid w:val="06933D53"/>
    <w:rsid w:val="06AB56C6"/>
    <w:rsid w:val="06FE6B3F"/>
    <w:rsid w:val="07974D82"/>
    <w:rsid w:val="07ED0962"/>
    <w:rsid w:val="08BB0299"/>
    <w:rsid w:val="0AB84D0E"/>
    <w:rsid w:val="0B0C10FF"/>
    <w:rsid w:val="0B4E7969"/>
    <w:rsid w:val="0B5D195B"/>
    <w:rsid w:val="0BFC5617"/>
    <w:rsid w:val="0CB97065"/>
    <w:rsid w:val="0E290A20"/>
    <w:rsid w:val="0E347382"/>
    <w:rsid w:val="0E377EE7"/>
    <w:rsid w:val="0E836F6A"/>
    <w:rsid w:val="0E87741A"/>
    <w:rsid w:val="0E96765D"/>
    <w:rsid w:val="0EED4993"/>
    <w:rsid w:val="0F7D25CB"/>
    <w:rsid w:val="0FE8213B"/>
    <w:rsid w:val="104D3C77"/>
    <w:rsid w:val="1118351C"/>
    <w:rsid w:val="11EB5F12"/>
    <w:rsid w:val="12266F4A"/>
    <w:rsid w:val="13033C31"/>
    <w:rsid w:val="13781A27"/>
    <w:rsid w:val="14AD39D2"/>
    <w:rsid w:val="15DA2525"/>
    <w:rsid w:val="15E31DEF"/>
    <w:rsid w:val="16532D86"/>
    <w:rsid w:val="16D57191"/>
    <w:rsid w:val="16F07B27"/>
    <w:rsid w:val="17CD689B"/>
    <w:rsid w:val="17FA6EAF"/>
    <w:rsid w:val="17FD074D"/>
    <w:rsid w:val="1922346A"/>
    <w:rsid w:val="19540841"/>
    <w:rsid w:val="1A210709"/>
    <w:rsid w:val="1A3C5DA9"/>
    <w:rsid w:val="1AA255DC"/>
    <w:rsid w:val="1AF165FE"/>
    <w:rsid w:val="1B8151F1"/>
    <w:rsid w:val="1BCD48DA"/>
    <w:rsid w:val="1CFC0972"/>
    <w:rsid w:val="1D2E13A9"/>
    <w:rsid w:val="1DC60715"/>
    <w:rsid w:val="1E870D71"/>
    <w:rsid w:val="1F022AED"/>
    <w:rsid w:val="1F182311"/>
    <w:rsid w:val="1F1C595D"/>
    <w:rsid w:val="1FC97167"/>
    <w:rsid w:val="20714358"/>
    <w:rsid w:val="209777C7"/>
    <w:rsid w:val="20982B70"/>
    <w:rsid w:val="20E26732"/>
    <w:rsid w:val="221F1B12"/>
    <w:rsid w:val="22821F7B"/>
    <w:rsid w:val="230230BC"/>
    <w:rsid w:val="23902475"/>
    <w:rsid w:val="23AD74CB"/>
    <w:rsid w:val="23D507D0"/>
    <w:rsid w:val="23E15A7C"/>
    <w:rsid w:val="2460453E"/>
    <w:rsid w:val="24C51A8E"/>
    <w:rsid w:val="25441615"/>
    <w:rsid w:val="2572234D"/>
    <w:rsid w:val="26612BE0"/>
    <w:rsid w:val="266F3F13"/>
    <w:rsid w:val="26FB0F04"/>
    <w:rsid w:val="272414D0"/>
    <w:rsid w:val="2738597A"/>
    <w:rsid w:val="29712D49"/>
    <w:rsid w:val="2AAD1B5F"/>
    <w:rsid w:val="2AE412F9"/>
    <w:rsid w:val="2B044801"/>
    <w:rsid w:val="2B3109E2"/>
    <w:rsid w:val="2B9B22FF"/>
    <w:rsid w:val="2BAE50E2"/>
    <w:rsid w:val="2C1300E8"/>
    <w:rsid w:val="2C750352"/>
    <w:rsid w:val="2CE101E6"/>
    <w:rsid w:val="2D6509B1"/>
    <w:rsid w:val="2E060473"/>
    <w:rsid w:val="2E5F3690"/>
    <w:rsid w:val="2EC97183"/>
    <w:rsid w:val="2EFF0AC7"/>
    <w:rsid w:val="2F0130C4"/>
    <w:rsid w:val="2FA8323D"/>
    <w:rsid w:val="2FB07762"/>
    <w:rsid w:val="306B57A3"/>
    <w:rsid w:val="307C787F"/>
    <w:rsid w:val="329E1320"/>
    <w:rsid w:val="32ED5FDE"/>
    <w:rsid w:val="331C1EE8"/>
    <w:rsid w:val="362C0724"/>
    <w:rsid w:val="36624145"/>
    <w:rsid w:val="36BB1AA7"/>
    <w:rsid w:val="36D36DF1"/>
    <w:rsid w:val="38461955"/>
    <w:rsid w:val="388A1666"/>
    <w:rsid w:val="39184F8F"/>
    <w:rsid w:val="39B01DA0"/>
    <w:rsid w:val="39F75E15"/>
    <w:rsid w:val="3AA50AA5"/>
    <w:rsid w:val="3AEA69BC"/>
    <w:rsid w:val="3B4262F3"/>
    <w:rsid w:val="3B950B19"/>
    <w:rsid w:val="3BC92571"/>
    <w:rsid w:val="3C335C3C"/>
    <w:rsid w:val="3C667DC0"/>
    <w:rsid w:val="3CB74F8D"/>
    <w:rsid w:val="3CDD2778"/>
    <w:rsid w:val="3D7F617C"/>
    <w:rsid w:val="3D9F7A2D"/>
    <w:rsid w:val="3FD044A5"/>
    <w:rsid w:val="3FD414E4"/>
    <w:rsid w:val="3FDF3BB3"/>
    <w:rsid w:val="417D62D7"/>
    <w:rsid w:val="41EC71D1"/>
    <w:rsid w:val="436F7EA2"/>
    <w:rsid w:val="43C1538E"/>
    <w:rsid w:val="43C755E8"/>
    <w:rsid w:val="44775260"/>
    <w:rsid w:val="44A1408B"/>
    <w:rsid w:val="454602CD"/>
    <w:rsid w:val="46727CC3"/>
    <w:rsid w:val="46CB1893"/>
    <w:rsid w:val="471B5A94"/>
    <w:rsid w:val="47841A42"/>
    <w:rsid w:val="481B31B1"/>
    <w:rsid w:val="483A1140"/>
    <w:rsid w:val="484521EF"/>
    <w:rsid w:val="486B1321"/>
    <w:rsid w:val="48BF2D31"/>
    <w:rsid w:val="49382AE4"/>
    <w:rsid w:val="4A843A13"/>
    <w:rsid w:val="4AD53F34"/>
    <w:rsid w:val="4B7A73E4"/>
    <w:rsid w:val="4BA10E14"/>
    <w:rsid w:val="4C371778"/>
    <w:rsid w:val="4C646910"/>
    <w:rsid w:val="4C7B09D4"/>
    <w:rsid w:val="4E832A53"/>
    <w:rsid w:val="4EFD3444"/>
    <w:rsid w:val="4F012FB2"/>
    <w:rsid w:val="4FB1539E"/>
    <w:rsid w:val="4FC33139"/>
    <w:rsid w:val="501E2A33"/>
    <w:rsid w:val="503944BB"/>
    <w:rsid w:val="50B05148"/>
    <w:rsid w:val="510D474B"/>
    <w:rsid w:val="51937451"/>
    <w:rsid w:val="52EC6E19"/>
    <w:rsid w:val="53CD0544"/>
    <w:rsid w:val="547F1F0F"/>
    <w:rsid w:val="55F32A4D"/>
    <w:rsid w:val="56A812A9"/>
    <w:rsid w:val="57A314E8"/>
    <w:rsid w:val="58346B6C"/>
    <w:rsid w:val="58D8399B"/>
    <w:rsid w:val="595D0668"/>
    <w:rsid w:val="5B5B4BD6"/>
    <w:rsid w:val="5B7C6E4D"/>
    <w:rsid w:val="5B9444F1"/>
    <w:rsid w:val="5BDE39BF"/>
    <w:rsid w:val="5C180C7F"/>
    <w:rsid w:val="5C311D40"/>
    <w:rsid w:val="5D3002AC"/>
    <w:rsid w:val="5D6121B1"/>
    <w:rsid w:val="5E7A298D"/>
    <w:rsid w:val="5EF13A09"/>
    <w:rsid w:val="5F542102"/>
    <w:rsid w:val="5F5F150E"/>
    <w:rsid w:val="5FFE1F39"/>
    <w:rsid w:val="608D150F"/>
    <w:rsid w:val="60DF620F"/>
    <w:rsid w:val="61C8145C"/>
    <w:rsid w:val="621A6DD3"/>
    <w:rsid w:val="62D84CC4"/>
    <w:rsid w:val="645D0095"/>
    <w:rsid w:val="64906C82"/>
    <w:rsid w:val="64EE6A20"/>
    <w:rsid w:val="654B40CF"/>
    <w:rsid w:val="658630FD"/>
    <w:rsid w:val="669E7FD2"/>
    <w:rsid w:val="67141D0B"/>
    <w:rsid w:val="674F30C9"/>
    <w:rsid w:val="67AA53C7"/>
    <w:rsid w:val="67C104F0"/>
    <w:rsid w:val="69D81A4D"/>
    <w:rsid w:val="69E228CC"/>
    <w:rsid w:val="6A100518"/>
    <w:rsid w:val="6A6D3082"/>
    <w:rsid w:val="6AA66DA1"/>
    <w:rsid w:val="6B1E43D0"/>
    <w:rsid w:val="6BDB5825"/>
    <w:rsid w:val="6BFC1DAD"/>
    <w:rsid w:val="6C1D7BEB"/>
    <w:rsid w:val="6C256AA0"/>
    <w:rsid w:val="6C53185F"/>
    <w:rsid w:val="6C546F67"/>
    <w:rsid w:val="6C92615A"/>
    <w:rsid w:val="6D317DF2"/>
    <w:rsid w:val="6DD03D63"/>
    <w:rsid w:val="6E9D3265"/>
    <w:rsid w:val="6FA26D85"/>
    <w:rsid w:val="70D171F6"/>
    <w:rsid w:val="72A72905"/>
    <w:rsid w:val="72B55021"/>
    <w:rsid w:val="72B666A4"/>
    <w:rsid w:val="73604D05"/>
    <w:rsid w:val="73942E89"/>
    <w:rsid w:val="751F585B"/>
    <w:rsid w:val="75344BD8"/>
    <w:rsid w:val="75E34125"/>
    <w:rsid w:val="771D4F43"/>
    <w:rsid w:val="77316C41"/>
    <w:rsid w:val="773F310C"/>
    <w:rsid w:val="77416E84"/>
    <w:rsid w:val="777C4360"/>
    <w:rsid w:val="77E85A29"/>
    <w:rsid w:val="781B0DE9"/>
    <w:rsid w:val="787E3AB1"/>
    <w:rsid w:val="79F104C4"/>
    <w:rsid w:val="79F24465"/>
    <w:rsid w:val="7A331CB1"/>
    <w:rsid w:val="7A344A7E"/>
    <w:rsid w:val="7A3E3652"/>
    <w:rsid w:val="7A4728A8"/>
    <w:rsid w:val="7A885287"/>
    <w:rsid w:val="7A9605FA"/>
    <w:rsid w:val="7B5D0004"/>
    <w:rsid w:val="7B890DF9"/>
    <w:rsid w:val="7D180687"/>
    <w:rsid w:val="7D9817C8"/>
    <w:rsid w:val="7E494870"/>
    <w:rsid w:val="7F98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left="737" w:hanging="51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autoRedefine/>
    <w:qFormat/>
    <w:uiPriority w:val="22"/>
    <w:rPr>
      <w:rFonts w:cs="Times New Roman"/>
      <w:b/>
    </w:rPr>
  </w:style>
  <w:style w:type="paragraph" w:styleId="7">
    <w:name w:val="List Paragraph"/>
    <w:basedOn w:val="1"/>
    <w:autoRedefine/>
    <w:qFormat/>
    <w:uiPriority w:val="99"/>
    <w:pPr>
      <w:ind w:left="0" w:firstLine="420" w:firstLineChars="200"/>
    </w:pPr>
    <w:rPr>
      <w:rFonts w:asciiTheme="minorHAnsi" w:hAnsiTheme="minorHAnsi" w:eastAsiaTheme="minorEastAsia" w:cstheme="minorBidi"/>
      <w:szCs w:val="24"/>
    </w:rPr>
  </w:style>
  <w:style w:type="paragraph" w:customStyle="1" w:styleId="8">
    <w:name w:val="Body text|1"/>
    <w:basedOn w:val="1"/>
    <w:autoRedefine/>
    <w:qFormat/>
    <w:uiPriority w:val="0"/>
    <w:pPr>
      <w:widowControl w:val="0"/>
      <w:shd w:val="clear" w:color="auto" w:fill="auto"/>
      <w:spacing w:line="40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3237</Words>
  <Characters>3316</Characters>
  <Lines>0</Lines>
  <Paragraphs>0</Paragraphs>
  <TotalTime>15</TotalTime>
  <ScaleCrop>false</ScaleCrop>
  <LinksUpToDate>false</LinksUpToDate>
  <CharactersWithSpaces>3392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Asopiram</cp:lastModifiedBy>
  <dcterms:modified xsi:type="dcterms:W3CDTF">2026-10-28T08:27:40Z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F9529BB8A00F48AFA99C9832F3268D60_13</vt:lpwstr>
  </property>
  <property fmtid="{D5CDD505-2E9C-101B-9397-08002B2CF9AE}" pid="4" name="KSOTemplateDocerSaveRecord">
    <vt:lpwstr>eyJoZGlkIjoiMTVlYmI2MWMxZWMxZjkwZjg2NjQyNmFkNmY2NmEyMjUiLCJ1c2VySWQiOiIxOTg1OTg1MzkifQ==</vt:lpwstr>
  </property>
</Properties>
</file>